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997" w:rsidRPr="00C506D3" w:rsidRDefault="00E432D7" w:rsidP="00C506D3">
      <w:pPr>
        <w:pStyle w:val="Title"/>
        <w:tabs>
          <w:tab w:val="left" w:pos="10065"/>
        </w:tabs>
        <w:spacing w:before="120" w:after="0"/>
        <w:ind w:left="142" w:right="-28"/>
        <w:rPr>
          <w:rFonts w:ascii="Arial" w:hAnsi="Arial"/>
          <w:sz w:val="28"/>
          <w:szCs w:val="28"/>
        </w:rPr>
      </w:pPr>
      <w:r w:rsidRPr="00C506D3">
        <w:rPr>
          <w:rFonts w:ascii="Arial" w:hAnsi="Arial"/>
          <w:sz w:val="28"/>
          <w:szCs w:val="28"/>
        </w:rPr>
        <w:t>CENTRE FOR AIDS REAGENTS</w:t>
      </w:r>
    </w:p>
    <w:p w:rsidR="00E432D7" w:rsidRPr="00C506D3" w:rsidRDefault="00E432D7" w:rsidP="00C506D3">
      <w:pPr>
        <w:pStyle w:val="Title"/>
        <w:tabs>
          <w:tab w:val="left" w:pos="10065"/>
        </w:tabs>
        <w:spacing w:before="0" w:after="120"/>
        <w:ind w:right="-28"/>
        <w:jc w:val="left"/>
        <w:rPr>
          <w:rFonts w:ascii="Arial" w:hAnsi="Arial"/>
          <w:sz w:val="24"/>
          <w:szCs w:val="24"/>
        </w:rPr>
      </w:pPr>
      <w:r w:rsidRPr="00C506D3">
        <w:rPr>
          <w:rFonts w:ascii="Arial" w:hAnsi="Arial"/>
          <w:sz w:val="24"/>
          <w:szCs w:val="24"/>
        </w:rPr>
        <w:t>HANDLING CHARGE</w:t>
      </w:r>
      <w:r w:rsidR="00BA0F9A" w:rsidRPr="00C506D3">
        <w:rPr>
          <w:rFonts w:ascii="Arial" w:hAnsi="Arial"/>
          <w:sz w:val="24"/>
          <w:szCs w:val="24"/>
        </w:rPr>
        <w:t>S</w:t>
      </w:r>
    </w:p>
    <w:p w:rsidR="00E432D7" w:rsidRPr="00C506D3" w:rsidRDefault="00E432D7" w:rsidP="00C506D3">
      <w:pPr>
        <w:suppressAutoHyphens/>
        <w:spacing w:after="120"/>
        <w:jc w:val="both"/>
        <w:rPr>
          <w:rFonts w:ascii="Arial" w:hAnsi="Arial" w:cs="Arial"/>
          <w:sz w:val="22"/>
        </w:rPr>
      </w:pPr>
      <w:r w:rsidRPr="00AD697E">
        <w:rPr>
          <w:rFonts w:ascii="Arial" w:hAnsi="Arial" w:cs="Arial"/>
          <w:sz w:val="22"/>
        </w:rPr>
        <w:t>The National Institute for Biological Standards and Control, a Centre of the Medicines and Healthcare Products Regulatory Agency (MHRA-NIBSC) is a not-for-profit, government body whose purpose is to safeguard and enhance public health through the standardisation and control of biologicals used in medicine. Since its establishment in 1989, the Centre for AIDS Reagents (CFAR) has been providing HIV/AIDS research scientists and others working in this field with a broad range of specialised reagents, many of whi</w:t>
      </w:r>
      <w:r w:rsidR="00C506D3">
        <w:rPr>
          <w:rFonts w:ascii="Arial" w:hAnsi="Arial" w:cs="Arial"/>
          <w:sz w:val="22"/>
        </w:rPr>
        <w:t>ch are not available elsewhere.</w:t>
      </w:r>
    </w:p>
    <w:p w:rsidR="00E432D7" w:rsidRDefault="00E432D7" w:rsidP="007E3997">
      <w:pPr>
        <w:tabs>
          <w:tab w:val="left" w:pos="0"/>
        </w:tabs>
        <w:spacing w:after="120"/>
        <w:jc w:val="both"/>
        <w:rPr>
          <w:rFonts w:ascii="Arial" w:hAnsi="Arial" w:cs="Arial"/>
          <w:sz w:val="22"/>
        </w:rPr>
      </w:pPr>
      <w:r w:rsidRPr="00AD697E">
        <w:rPr>
          <w:rFonts w:ascii="Arial" w:hAnsi="Arial" w:cs="Arial"/>
          <w:sz w:val="22"/>
          <w:szCs w:val="22"/>
        </w:rPr>
        <w:t xml:space="preserve">CFAR remains committed to providing affordable, high quality reagents to scientists, often with limited budgets and therefore we continue to strive to keep the costs of obtaining materials as low as possible. </w:t>
      </w:r>
      <w:r w:rsidRPr="00AD697E">
        <w:rPr>
          <w:rFonts w:ascii="Arial" w:hAnsi="Arial" w:cs="Arial"/>
          <w:sz w:val="22"/>
        </w:rPr>
        <w:t>Our handling charges are important in helping to maintain the facility and have been kept as low as possible. Our current handling charges are as follows:</w:t>
      </w:r>
    </w:p>
    <w:p w:rsidR="008E266B" w:rsidRPr="00AD697E" w:rsidRDefault="008E266B" w:rsidP="007E3997">
      <w:pPr>
        <w:tabs>
          <w:tab w:val="left" w:pos="0"/>
        </w:tabs>
        <w:spacing w:after="120"/>
        <w:jc w:val="both"/>
        <w:rPr>
          <w:rFonts w:ascii="Arial" w:hAnsi="Arial" w:cs="Arial"/>
          <w:sz w:val="22"/>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528"/>
      </w:tblGrid>
      <w:tr w:rsidR="00DF44BF"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009AA6"/>
            <w:vAlign w:val="center"/>
            <w:hideMark/>
          </w:tcPr>
          <w:p w:rsidR="00E432D7" w:rsidRPr="00AD697E" w:rsidRDefault="00E432D7" w:rsidP="00C506D3">
            <w:pPr>
              <w:ind w:left="34" w:right="-1090"/>
              <w:rPr>
                <w:rFonts w:ascii="Arial" w:hAnsi="Arial" w:cs="Arial"/>
                <w:b/>
                <w:color w:val="FFFFFF"/>
              </w:rPr>
            </w:pPr>
            <w:r w:rsidRPr="00AD697E">
              <w:rPr>
                <w:rFonts w:ascii="Arial" w:hAnsi="Arial" w:cs="Arial"/>
                <w:b/>
                <w:color w:val="FFFFFF"/>
              </w:rPr>
              <w:t>Reagent Type</w:t>
            </w:r>
          </w:p>
        </w:tc>
        <w:tc>
          <w:tcPr>
            <w:tcW w:w="5528" w:type="dxa"/>
            <w:tcBorders>
              <w:top w:val="single" w:sz="24" w:space="0" w:color="FFFFFF"/>
              <w:left w:val="single" w:sz="24" w:space="0" w:color="FFFFFF"/>
              <w:bottom w:val="single" w:sz="24" w:space="0" w:color="FFFFFF"/>
              <w:right w:val="single" w:sz="24" w:space="0" w:color="FFFFFF"/>
            </w:tcBorders>
            <w:shd w:val="clear" w:color="auto" w:fill="009AA6"/>
            <w:vAlign w:val="center"/>
            <w:hideMark/>
          </w:tcPr>
          <w:p w:rsidR="00E432D7" w:rsidRPr="00AD697E" w:rsidRDefault="00E432D7" w:rsidP="00C506D3">
            <w:pPr>
              <w:ind w:left="33" w:right="-1090"/>
              <w:rPr>
                <w:rFonts w:ascii="Arial" w:hAnsi="Arial" w:cs="Arial"/>
                <w:b/>
                <w:color w:val="FFFFFF"/>
              </w:rPr>
            </w:pPr>
            <w:r w:rsidRPr="00AD697E">
              <w:rPr>
                <w:rFonts w:ascii="Arial" w:hAnsi="Arial" w:cs="Arial"/>
                <w:b/>
                <w:color w:val="FFFFFF"/>
              </w:rPr>
              <w:t>Handling Charge / vial (£)</w:t>
            </w:r>
          </w:p>
        </w:tc>
      </w:tr>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bookmarkStart w:id="0" w:name="_Hlk509580340"/>
            <w:r w:rsidRPr="00AD697E">
              <w:rPr>
                <w:rFonts w:ascii="Arial" w:hAnsi="Arial" w:cs="Arial"/>
              </w:rPr>
              <w:t>Cell Lines</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3" w:right="-1090"/>
              <w:rPr>
                <w:rFonts w:ascii="Arial" w:hAnsi="Arial" w:cs="Arial"/>
              </w:rPr>
            </w:pPr>
            <w:r w:rsidRPr="00AD697E">
              <w:rPr>
                <w:rFonts w:ascii="Arial" w:hAnsi="Arial" w:cs="Arial"/>
              </w:rPr>
              <w:t>50.00</w:t>
            </w:r>
          </w:p>
        </w:tc>
      </w:tr>
      <w:bookmarkEnd w:id="0"/>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r w:rsidRPr="00AD697E">
              <w:rPr>
                <w:rFonts w:ascii="Arial" w:hAnsi="Arial" w:cs="Arial"/>
              </w:rPr>
              <w:t>Viruses</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3" w:right="-1090"/>
              <w:rPr>
                <w:rFonts w:ascii="Arial" w:hAnsi="Arial" w:cs="Arial"/>
              </w:rPr>
            </w:pPr>
            <w:r w:rsidRPr="00AD697E">
              <w:rPr>
                <w:rFonts w:ascii="Arial" w:hAnsi="Arial" w:cs="Arial"/>
              </w:rPr>
              <w:t>50.00</w:t>
            </w:r>
          </w:p>
        </w:tc>
      </w:tr>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r w:rsidRPr="00AD697E">
              <w:rPr>
                <w:rFonts w:ascii="Arial" w:hAnsi="Arial" w:cs="Arial"/>
              </w:rPr>
              <w:t>DNA Clones</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7E3997" w:rsidRDefault="00E432D7" w:rsidP="00C506D3">
            <w:pPr>
              <w:ind w:left="33" w:right="-1090"/>
              <w:rPr>
                <w:rFonts w:ascii="Arial" w:hAnsi="Arial" w:cs="Arial"/>
                <w:sz w:val="20"/>
              </w:rPr>
            </w:pPr>
            <w:r w:rsidRPr="00AD697E">
              <w:rPr>
                <w:rFonts w:ascii="Arial" w:hAnsi="Arial" w:cs="Arial"/>
              </w:rPr>
              <w:t xml:space="preserve">50.00 </w:t>
            </w:r>
            <w:r w:rsidRPr="007E3997">
              <w:rPr>
                <w:rFonts w:ascii="Arial" w:hAnsi="Arial" w:cs="Arial"/>
                <w:sz w:val="20"/>
              </w:rPr>
              <w:t>(individual clones)</w:t>
            </w:r>
          </w:p>
          <w:p w:rsidR="00E432D7" w:rsidRPr="00AD697E" w:rsidRDefault="00E432D7" w:rsidP="00C506D3">
            <w:pPr>
              <w:tabs>
                <w:tab w:val="left" w:pos="4314"/>
              </w:tabs>
              <w:ind w:left="33" w:right="-1090"/>
              <w:rPr>
                <w:rFonts w:ascii="Arial" w:hAnsi="Arial" w:cs="Arial"/>
              </w:rPr>
            </w:pPr>
            <w:r w:rsidRPr="00AD697E">
              <w:rPr>
                <w:rFonts w:ascii="Arial" w:hAnsi="Arial" w:cs="Arial"/>
              </w:rPr>
              <w:t xml:space="preserve">15.00 </w:t>
            </w:r>
            <w:r w:rsidRPr="007E3997">
              <w:rPr>
                <w:rFonts w:ascii="Arial" w:hAnsi="Arial" w:cs="Arial"/>
                <w:sz w:val="20"/>
              </w:rPr>
              <w:t>(per vial when requesting a set of clones*)</w:t>
            </w:r>
          </w:p>
        </w:tc>
      </w:tr>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r w:rsidRPr="00AD697E">
              <w:rPr>
                <w:rFonts w:ascii="Arial" w:hAnsi="Arial" w:cs="Arial"/>
              </w:rPr>
              <w:t>Monoclonal Antibodies</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3" w:right="-1090"/>
              <w:rPr>
                <w:rFonts w:ascii="Arial" w:hAnsi="Arial" w:cs="Arial"/>
              </w:rPr>
            </w:pPr>
            <w:r w:rsidRPr="00AD697E">
              <w:rPr>
                <w:rFonts w:ascii="Arial" w:hAnsi="Arial" w:cs="Arial"/>
              </w:rPr>
              <w:t>50.00</w:t>
            </w:r>
          </w:p>
        </w:tc>
      </w:tr>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r w:rsidRPr="00AD697E">
              <w:rPr>
                <w:rFonts w:ascii="Arial" w:hAnsi="Arial" w:cs="Arial"/>
              </w:rPr>
              <w:t>Antisera</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3" w:right="-1090"/>
              <w:rPr>
                <w:rFonts w:ascii="Arial" w:hAnsi="Arial" w:cs="Arial"/>
              </w:rPr>
            </w:pPr>
            <w:r w:rsidRPr="00AD697E">
              <w:rPr>
                <w:rFonts w:ascii="Arial" w:hAnsi="Arial" w:cs="Arial"/>
              </w:rPr>
              <w:t>50.00</w:t>
            </w:r>
          </w:p>
        </w:tc>
      </w:tr>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r w:rsidRPr="00AD697E">
              <w:rPr>
                <w:rFonts w:ascii="Arial" w:hAnsi="Arial" w:cs="Arial"/>
              </w:rPr>
              <w:t>Sera</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3" w:right="-1090"/>
              <w:rPr>
                <w:rFonts w:ascii="Arial" w:hAnsi="Arial" w:cs="Arial"/>
              </w:rPr>
            </w:pPr>
            <w:r w:rsidRPr="00AD697E">
              <w:rPr>
                <w:rFonts w:ascii="Arial" w:hAnsi="Arial" w:cs="Arial"/>
              </w:rPr>
              <w:t>50.00</w:t>
            </w:r>
          </w:p>
        </w:tc>
      </w:tr>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r w:rsidRPr="00AD697E">
              <w:rPr>
                <w:rFonts w:ascii="Arial" w:hAnsi="Arial" w:cs="Arial"/>
              </w:rPr>
              <w:t>Proteins</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3" w:right="-1090"/>
              <w:rPr>
                <w:rFonts w:ascii="Arial" w:hAnsi="Arial" w:cs="Arial"/>
              </w:rPr>
            </w:pPr>
            <w:r w:rsidRPr="00AD697E">
              <w:rPr>
                <w:rFonts w:ascii="Arial" w:hAnsi="Arial" w:cs="Arial"/>
              </w:rPr>
              <w:t>100.00</w:t>
            </w:r>
          </w:p>
        </w:tc>
      </w:tr>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r w:rsidRPr="00AD697E">
              <w:rPr>
                <w:rFonts w:ascii="Arial" w:hAnsi="Arial" w:cs="Arial"/>
              </w:rPr>
              <w:t>Peptides – single/set</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7E3997" w:rsidRDefault="00E432D7" w:rsidP="00C506D3">
            <w:pPr>
              <w:ind w:left="33" w:right="-1090"/>
              <w:rPr>
                <w:rFonts w:ascii="Arial" w:hAnsi="Arial" w:cs="Arial"/>
                <w:sz w:val="20"/>
              </w:rPr>
            </w:pPr>
            <w:r w:rsidRPr="00AD697E">
              <w:rPr>
                <w:rFonts w:ascii="Arial" w:hAnsi="Arial" w:cs="Arial"/>
              </w:rPr>
              <w:t xml:space="preserve">25.00 </w:t>
            </w:r>
            <w:r w:rsidRPr="007E3997">
              <w:rPr>
                <w:rFonts w:ascii="Arial" w:hAnsi="Arial" w:cs="Arial"/>
                <w:sz w:val="20"/>
              </w:rPr>
              <w:t xml:space="preserve">(individual peptides) </w:t>
            </w:r>
          </w:p>
          <w:p w:rsidR="00E432D7" w:rsidRPr="00AD697E" w:rsidRDefault="00E432D7" w:rsidP="00C506D3">
            <w:pPr>
              <w:ind w:left="33" w:right="-1090"/>
              <w:rPr>
                <w:rFonts w:ascii="Arial" w:hAnsi="Arial" w:cs="Arial"/>
              </w:rPr>
            </w:pPr>
            <w:r w:rsidRPr="00AD697E">
              <w:rPr>
                <w:rFonts w:ascii="Arial" w:hAnsi="Arial" w:cs="Arial"/>
              </w:rPr>
              <w:t xml:space="preserve">15.00 </w:t>
            </w:r>
            <w:r w:rsidRPr="007E3997">
              <w:rPr>
                <w:rFonts w:ascii="Arial" w:hAnsi="Arial" w:cs="Arial"/>
                <w:sz w:val="20"/>
              </w:rPr>
              <w:t>(per peptide within a set of peptides*).</w:t>
            </w:r>
          </w:p>
        </w:tc>
      </w:tr>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r w:rsidRPr="00AD697E">
              <w:rPr>
                <w:rFonts w:ascii="Arial" w:hAnsi="Arial" w:cs="Arial"/>
              </w:rPr>
              <w:t>Chemokines</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3" w:right="-1090"/>
              <w:rPr>
                <w:rFonts w:ascii="Arial" w:hAnsi="Arial" w:cs="Arial"/>
              </w:rPr>
            </w:pPr>
            <w:r w:rsidRPr="00AD697E">
              <w:rPr>
                <w:rFonts w:ascii="Arial" w:hAnsi="Arial" w:cs="Arial"/>
              </w:rPr>
              <w:t xml:space="preserve">66.00 </w:t>
            </w:r>
          </w:p>
          <w:p w:rsidR="00E432D7" w:rsidRPr="00AD697E" w:rsidRDefault="00E432D7" w:rsidP="00C506D3">
            <w:pPr>
              <w:ind w:left="33" w:right="-1090"/>
              <w:rPr>
                <w:rFonts w:ascii="Arial" w:hAnsi="Arial" w:cs="Arial"/>
              </w:rPr>
            </w:pPr>
            <w:r w:rsidRPr="007E3997">
              <w:rPr>
                <w:rFonts w:ascii="Arial" w:hAnsi="Arial" w:cs="Arial"/>
                <w:sz w:val="16"/>
                <w:szCs w:val="16"/>
              </w:rPr>
              <w:t>(Except IL-2 which is £30 per vial or £25 per vial for orders of 4 or more</w:t>
            </w:r>
            <w:r w:rsidR="007E3997">
              <w:rPr>
                <w:rFonts w:ascii="Arial" w:hAnsi="Arial" w:cs="Arial"/>
                <w:sz w:val="16"/>
                <w:szCs w:val="16"/>
              </w:rPr>
              <w:t>)</w:t>
            </w:r>
          </w:p>
        </w:tc>
      </w:tr>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r w:rsidRPr="00AD697E">
              <w:rPr>
                <w:rFonts w:ascii="Arial" w:hAnsi="Arial" w:cs="Arial"/>
              </w:rPr>
              <w:t>ARVs</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3" w:right="-1090"/>
              <w:rPr>
                <w:rFonts w:ascii="Arial" w:hAnsi="Arial" w:cs="Arial"/>
              </w:rPr>
            </w:pPr>
            <w:r w:rsidRPr="00AD697E">
              <w:rPr>
                <w:rFonts w:ascii="Arial" w:hAnsi="Arial" w:cs="Arial"/>
              </w:rPr>
              <w:t>90.00</w:t>
            </w:r>
          </w:p>
        </w:tc>
      </w:tr>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r w:rsidRPr="00AD697E">
              <w:rPr>
                <w:rFonts w:ascii="Arial" w:hAnsi="Arial" w:cs="Arial"/>
              </w:rPr>
              <w:t>Miscellaneous Reagents</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3" w:right="-1090"/>
              <w:rPr>
                <w:rFonts w:ascii="Arial" w:hAnsi="Arial" w:cs="Arial"/>
              </w:rPr>
            </w:pPr>
            <w:r w:rsidRPr="00AD697E">
              <w:rPr>
                <w:rFonts w:ascii="Arial" w:hAnsi="Arial" w:cs="Arial"/>
              </w:rPr>
              <w:t>100.00</w:t>
            </w:r>
          </w:p>
        </w:tc>
      </w:tr>
      <w:tr w:rsidR="00E432D7" w:rsidRPr="00BA0F9A" w:rsidTr="000501EE">
        <w:trPr>
          <w:trHeight w:val="552"/>
        </w:trPr>
        <w:tc>
          <w:tcPr>
            <w:tcW w:w="2977"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4" w:right="-1090"/>
              <w:rPr>
                <w:rFonts w:ascii="Arial" w:hAnsi="Arial" w:cs="Arial"/>
              </w:rPr>
            </w:pPr>
            <w:r w:rsidRPr="00AD697E">
              <w:rPr>
                <w:rFonts w:ascii="Arial" w:hAnsi="Arial" w:cs="Arial"/>
              </w:rPr>
              <w:t>SIV RNA Panel</w:t>
            </w:r>
          </w:p>
        </w:tc>
        <w:tc>
          <w:tcPr>
            <w:tcW w:w="5528" w:type="dxa"/>
            <w:tcBorders>
              <w:top w:val="single" w:sz="24" w:space="0" w:color="FFFFFF"/>
              <w:left w:val="single" w:sz="24" w:space="0" w:color="FFFFFF"/>
              <w:bottom w:val="single" w:sz="24" w:space="0" w:color="FFFFFF"/>
              <w:right w:val="single" w:sz="24" w:space="0" w:color="FFFFFF"/>
            </w:tcBorders>
            <w:shd w:val="clear" w:color="auto" w:fill="F2F2F2"/>
            <w:vAlign w:val="center"/>
            <w:hideMark/>
          </w:tcPr>
          <w:p w:rsidR="00E432D7" w:rsidRPr="00AD697E" w:rsidRDefault="00E432D7" w:rsidP="00C506D3">
            <w:pPr>
              <w:ind w:left="33" w:right="-1090"/>
              <w:rPr>
                <w:rFonts w:ascii="Arial" w:hAnsi="Arial" w:cs="Arial"/>
              </w:rPr>
            </w:pPr>
            <w:r w:rsidRPr="00AD697E">
              <w:rPr>
                <w:rFonts w:ascii="Arial" w:hAnsi="Arial" w:cs="Arial"/>
              </w:rPr>
              <w:t>125</w:t>
            </w:r>
            <w:r w:rsidR="007E3997">
              <w:rPr>
                <w:rFonts w:ascii="Arial" w:hAnsi="Arial" w:cs="Arial"/>
              </w:rPr>
              <w:t>.00</w:t>
            </w:r>
            <w:r w:rsidRPr="00AD697E">
              <w:rPr>
                <w:rFonts w:ascii="Arial" w:hAnsi="Arial" w:cs="Arial"/>
              </w:rPr>
              <w:t xml:space="preserve"> per panel (5 members)</w:t>
            </w:r>
          </w:p>
        </w:tc>
      </w:tr>
    </w:tbl>
    <w:p w:rsidR="00E432D7" w:rsidRPr="007E3997" w:rsidRDefault="00E432D7" w:rsidP="00C506D3">
      <w:pPr>
        <w:suppressAutoHyphens/>
        <w:ind w:left="851"/>
        <w:jc w:val="both"/>
        <w:rPr>
          <w:rFonts w:ascii="Arial" w:hAnsi="Arial" w:cs="Arial"/>
          <w:sz w:val="20"/>
        </w:rPr>
      </w:pPr>
      <w:r w:rsidRPr="007E3997">
        <w:rPr>
          <w:rFonts w:ascii="Arial" w:hAnsi="Arial" w:cs="Arial"/>
          <w:sz w:val="20"/>
        </w:rPr>
        <w:t xml:space="preserve">*a set is a series of peptides or clones with a common repository number and the suffix .1, .2 etc </w:t>
      </w:r>
    </w:p>
    <w:p w:rsidR="00E432D7" w:rsidRPr="00C506D3" w:rsidRDefault="00BA0F9A" w:rsidP="00C506D3">
      <w:pPr>
        <w:spacing w:after="120"/>
        <w:ind w:left="851"/>
        <w:jc w:val="both"/>
        <w:rPr>
          <w:rFonts w:ascii="Arial" w:hAnsi="Arial" w:cs="Arial"/>
          <w:sz w:val="20"/>
        </w:rPr>
      </w:pPr>
      <w:r w:rsidRPr="00C506D3">
        <w:rPr>
          <w:rFonts w:ascii="Arial" w:hAnsi="Arial" w:cs="Arial"/>
          <w:b/>
          <w:i/>
          <w:sz w:val="20"/>
        </w:rPr>
        <w:t xml:space="preserve">Note: </w:t>
      </w:r>
      <w:r w:rsidR="00E432D7" w:rsidRPr="00C506D3">
        <w:rPr>
          <w:rFonts w:ascii="Arial" w:hAnsi="Arial" w:cs="Arial"/>
          <w:b/>
          <w:i/>
          <w:sz w:val="20"/>
        </w:rPr>
        <w:t>These charges will be kept under review and are subject to change</w:t>
      </w:r>
      <w:r w:rsidRPr="00C506D3">
        <w:rPr>
          <w:rFonts w:ascii="Arial" w:hAnsi="Arial" w:cs="Arial"/>
          <w:b/>
          <w:i/>
          <w:sz w:val="20"/>
        </w:rPr>
        <w:t>.</w:t>
      </w:r>
      <w:r w:rsidRPr="00C506D3" w:rsidDel="00BA0F9A">
        <w:rPr>
          <w:rFonts w:ascii="Arial" w:hAnsi="Arial" w:cs="Arial"/>
          <w:b/>
          <w:i/>
          <w:sz w:val="20"/>
        </w:rPr>
        <w:t xml:space="preserve"> </w:t>
      </w:r>
    </w:p>
    <w:p w:rsidR="00E432D7" w:rsidRPr="000501EE" w:rsidRDefault="008E266B" w:rsidP="000501EE">
      <w:pPr>
        <w:widowControl/>
        <w:snapToGrid/>
        <w:rPr>
          <w:rFonts w:ascii="Arial" w:hAnsi="Arial" w:cs="Arial"/>
          <w:b/>
          <w:sz w:val="22"/>
        </w:rPr>
      </w:pPr>
      <w:r>
        <w:rPr>
          <w:szCs w:val="24"/>
        </w:rPr>
        <w:br w:type="page"/>
      </w:r>
      <w:r w:rsidR="00E432D7" w:rsidRPr="000501EE">
        <w:rPr>
          <w:rFonts w:ascii="Arial" w:hAnsi="Arial" w:cs="Arial"/>
          <w:b/>
          <w:sz w:val="22"/>
        </w:rPr>
        <w:lastRenderedPageBreak/>
        <w:t>DELIVERY CHARGE</w:t>
      </w:r>
      <w:r w:rsidR="000501EE">
        <w:rPr>
          <w:rFonts w:ascii="Arial" w:hAnsi="Arial" w:cs="Arial"/>
          <w:b/>
          <w:sz w:val="22"/>
        </w:rPr>
        <w:t>S</w:t>
      </w:r>
    </w:p>
    <w:p w:rsidR="008E266B" w:rsidRDefault="00E432D7" w:rsidP="00C506D3">
      <w:pPr>
        <w:spacing w:after="120"/>
        <w:rPr>
          <w:rFonts w:ascii="Arial" w:hAnsi="Arial" w:cs="Arial"/>
          <w:sz w:val="22"/>
        </w:rPr>
      </w:pPr>
      <w:r w:rsidRPr="00AD697E">
        <w:rPr>
          <w:rFonts w:ascii="Arial" w:hAnsi="Arial" w:cs="Arial"/>
          <w:sz w:val="22"/>
        </w:rPr>
        <w:t>There are stringent regulations for the shipping of infectious material and dangerous goods</w:t>
      </w:r>
      <w:r w:rsidR="00C506D3">
        <w:rPr>
          <w:rFonts w:ascii="Arial" w:hAnsi="Arial" w:cs="Arial"/>
          <w:sz w:val="22"/>
        </w:rPr>
        <w:t xml:space="preserve"> </w:t>
      </w:r>
      <w:r w:rsidRPr="00AD697E">
        <w:rPr>
          <w:rFonts w:ascii="Arial" w:hAnsi="Arial" w:cs="Arial"/>
          <w:sz w:val="22"/>
        </w:rPr>
        <w:t xml:space="preserve">(such as Dry Ice) within the UK and </w:t>
      </w:r>
      <w:r w:rsidR="008E266B">
        <w:rPr>
          <w:rFonts w:ascii="Arial" w:hAnsi="Arial" w:cs="Arial"/>
          <w:sz w:val="22"/>
        </w:rPr>
        <w:t>worldwide</w:t>
      </w:r>
      <w:r w:rsidRPr="00AD697E">
        <w:rPr>
          <w:rFonts w:ascii="Arial" w:hAnsi="Arial" w:cs="Arial"/>
          <w:sz w:val="22"/>
        </w:rPr>
        <w:t xml:space="preserve">. We attempt to keep our shipping costs as low as </w:t>
      </w:r>
      <w:proofErr w:type="gramStart"/>
      <w:r w:rsidRPr="00AD697E">
        <w:rPr>
          <w:rFonts w:ascii="Arial" w:hAnsi="Arial" w:cs="Arial"/>
          <w:sz w:val="22"/>
        </w:rPr>
        <w:t>possible, and</w:t>
      </w:r>
      <w:proofErr w:type="gramEnd"/>
      <w:r w:rsidRPr="00AD697E">
        <w:rPr>
          <w:rFonts w:ascii="Arial" w:hAnsi="Arial" w:cs="Arial"/>
          <w:sz w:val="22"/>
        </w:rPr>
        <w:t xml:space="preserve"> review these regularly to ensure that we continue to provide a cost effective efficient servic</w:t>
      </w:r>
      <w:r w:rsidR="00BA0F9A">
        <w:rPr>
          <w:rFonts w:ascii="Arial" w:hAnsi="Arial" w:cs="Arial"/>
          <w:sz w:val="22"/>
        </w:rPr>
        <w:t>e.</w:t>
      </w:r>
    </w:p>
    <w:p w:rsidR="002D226E" w:rsidRDefault="008E266B" w:rsidP="00C506D3">
      <w:pPr>
        <w:spacing w:after="120"/>
        <w:rPr>
          <w:rFonts w:ascii="Arial" w:hAnsi="Arial" w:cs="Arial"/>
          <w:sz w:val="22"/>
        </w:rPr>
      </w:pPr>
      <w:r>
        <w:rPr>
          <w:rFonts w:ascii="Arial" w:hAnsi="Arial" w:cs="Arial"/>
          <w:sz w:val="22"/>
        </w:rPr>
        <w:t xml:space="preserve">Our courier is currently DHL Express, where DHL Express do not have an available service we </w:t>
      </w:r>
      <w:r w:rsidR="00742FE9">
        <w:rPr>
          <w:rFonts w:ascii="Arial" w:hAnsi="Arial" w:cs="Arial"/>
          <w:sz w:val="22"/>
        </w:rPr>
        <w:t xml:space="preserve">will </w:t>
      </w:r>
      <w:r>
        <w:rPr>
          <w:rFonts w:ascii="Arial" w:hAnsi="Arial" w:cs="Arial"/>
          <w:sz w:val="22"/>
        </w:rPr>
        <w:t>use</w:t>
      </w:r>
      <w:r w:rsidRPr="000501EE">
        <w:rPr>
          <w:rFonts w:ascii="Arial" w:hAnsi="Arial" w:cs="Arial"/>
          <w:b/>
          <w:sz w:val="22"/>
        </w:rPr>
        <w:t xml:space="preserve"> *</w:t>
      </w:r>
      <w:r>
        <w:rPr>
          <w:rFonts w:ascii="Arial" w:hAnsi="Arial" w:cs="Arial"/>
          <w:sz w:val="22"/>
        </w:rPr>
        <w:t>DHL Global</w:t>
      </w:r>
      <w:r w:rsidR="001067EA">
        <w:rPr>
          <w:rFonts w:ascii="Arial" w:hAnsi="Arial" w:cs="Arial"/>
          <w:sz w:val="22"/>
        </w:rPr>
        <w:t xml:space="preserve"> </w:t>
      </w:r>
      <w:r w:rsidR="001067EA">
        <w:rPr>
          <w:rFonts w:ascii="Helvetica" w:hAnsi="Helvetica" w:cs="Helvetica"/>
          <w:color w:val="000000"/>
          <w:sz w:val="21"/>
          <w:szCs w:val="21"/>
          <w:shd w:val="clear" w:color="auto" w:fill="FFFFFF"/>
        </w:rPr>
        <w:t>Airfreight</w:t>
      </w:r>
      <w:r>
        <w:rPr>
          <w:rFonts w:ascii="Arial" w:hAnsi="Arial" w:cs="Arial"/>
          <w:sz w:val="22"/>
        </w:rPr>
        <w:t>.</w:t>
      </w:r>
      <w:bookmarkStart w:id="1" w:name="_GoBack"/>
      <w:bookmarkEnd w:id="1"/>
    </w:p>
    <w:p w:rsidR="000501EE" w:rsidRPr="00AD697E" w:rsidRDefault="000501EE" w:rsidP="00C506D3">
      <w:pPr>
        <w:spacing w:after="120"/>
        <w:rPr>
          <w:rFonts w:ascii="Arial" w:hAnsi="Arial" w:cs="Arial"/>
          <w:sz w:val="22"/>
        </w:rPr>
      </w:pPr>
    </w:p>
    <w:tbl>
      <w:tblPr>
        <w:tblStyle w:val="TableGrid"/>
        <w:tblW w:w="0" w:type="auto"/>
        <w:tblBorders>
          <w:top w:val="none" w:sz="0" w:space="0" w:color="auto"/>
          <w:left w:val="none" w:sz="0" w:space="0" w:color="auto"/>
        </w:tblBorders>
        <w:tblLayout w:type="fixed"/>
        <w:tblLook w:val="04A0" w:firstRow="1" w:lastRow="0" w:firstColumn="1" w:lastColumn="0" w:noHBand="0" w:noVBand="1"/>
      </w:tblPr>
      <w:tblGrid>
        <w:gridCol w:w="1668"/>
        <w:gridCol w:w="1693"/>
        <w:gridCol w:w="1694"/>
        <w:gridCol w:w="1694"/>
        <w:gridCol w:w="1694"/>
        <w:gridCol w:w="1694"/>
      </w:tblGrid>
      <w:tr w:rsidR="001067EA" w:rsidTr="001067EA">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tcMar>
              <w:top w:w="57" w:type="dxa"/>
              <w:bottom w:w="57" w:type="dxa"/>
            </w:tcMar>
          </w:tcPr>
          <w:p w:rsidR="002D226E" w:rsidRPr="00AD697E" w:rsidRDefault="002D226E" w:rsidP="00E432D7">
            <w:pPr>
              <w:suppressAutoHyphens/>
              <w:jc w:val="both"/>
              <w:rPr>
                <w:rFonts w:ascii="Arial" w:hAnsi="Arial" w:cs="Arial"/>
                <w:sz w:val="22"/>
              </w:rPr>
            </w:pPr>
          </w:p>
        </w:tc>
        <w:tc>
          <w:tcPr>
            <w:tcW w:w="1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9AA6"/>
            <w:tcMar>
              <w:top w:w="57" w:type="dxa"/>
              <w:bottom w:w="57" w:type="dxa"/>
            </w:tcMar>
            <w:vAlign w:val="center"/>
          </w:tcPr>
          <w:p w:rsidR="002D226E" w:rsidRPr="00AD697E" w:rsidRDefault="002D226E" w:rsidP="002D226E">
            <w:pPr>
              <w:suppressAutoHyphens/>
              <w:jc w:val="center"/>
              <w:rPr>
                <w:rFonts w:ascii="Arial" w:hAnsi="Arial" w:cs="Arial"/>
                <w:b/>
                <w:color w:val="FFFFFF" w:themeColor="background1"/>
                <w:sz w:val="22"/>
              </w:rPr>
            </w:pPr>
            <w:r w:rsidRPr="00AD697E">
              <w:rPr>
                <w:rFonts w:ascii="Arial" w:hAnsi="Arial" w:cs="Arial"/>
                <w:b/>
                <w:color w:val="FFFFFF" w:themeColor="background1"/>
                <w:sz w:val="22"/>
              </w:rPr>
              <w:t>Ambient</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9AA6"/>
            <w:tcMar>
              <w:top w:w="57" w:type="dxa"/>
              <w:bottom w:w="57" w:type="dxa"/>
            </w:tcMar>
            <w:vAlign w:val="center"/>
          </w:tcPr>
          <w:p w:rsidR="002D226E" w:rsidRPr="00AD697E" w:rsidRDefault="002D226E" w:rsidP="002D226E">
            <w:pPr>
              <w:suppressAutoHyphens/>
              <w:jc w:val="center"/>
              <w:rPr>
                <w:rFonts w:ascii="Arial" w:hAnsi="Arial" w:cs="Arial"/>
                <w:b/>
                <w:color w:val="FFFFFF" w:themeColor="background1"/>
                <w:sz w:val="22"/>
              </w:rPr>
            </w:pPr>
            <w:r w:rsidRPr="00AD697E">
              <w:rPr>
                <w:rFonts w:ascii="Arial" w:hAnsi="Arial" w:cs="Arial"/>
                <w:b/>
                <w:color w:val="FFFFFF" w:themeColor="background1"/>
                <w:sz w:val="22"/>
              </w:rPr>
              <w:t>Ice Packs</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9AA6"/>
            <w:tcMar>
              <w:top w:w="57" w:type="dxa"/>
              <w:bottom w:w="57" w:type="dxa"/>
            </w:tcMar>
            <w:vAlign w:val="center"/>
          </w:tcPr>
          <w:p w:rsidR="002D226E" w:rsidRPr="00AD697E" w:rsidRDefault="002D226E" w:rsidP="002D226E">
            <w:pPr>
              <w:suppressAutoHyphens/>
              <w:jc w:val="center"/>
              <w:rPr>
                <w:rFonts w:ascii="Arial" w:hAnsi="Arial" w:cs="Arial"/>
                <w:b/>
                <w:color w:val="FFFFFF" w:themeColor="background1"/>
                <w:sz w:val="22"/>
              </w:rPr>
            </w:pPr>
            <w:r w:rsidRPr="00AD697E">
              <w:rPr>
                <w:rFonts w:ascii="Arial" w:hAnsi="Arial" w:cs="Arial"/>
                <w:b/>
                <w:color w:val="FFFFFF" w:themeColor="background1"/>
                <w:sz w:val="22"/>
              </w:rPr>
              <w:t>Dry Ice</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9AA6"/>
            <w:tcMar>
              <w:top w:w="57" w:type="dxa"/>
              <w:bottom w:w="57" w:type="dxa"/>
            </w:tcMar>
            <w:vAlign w:val="center"/>
          </w:tcPr>
          <w:p w:rsidR="002D226E" w:rsidRDefault="002D226E" w:rsidP="002D226E">
            <w:pPr>
              <w:suppressAutoHyphens/>
              <w:jc w:val="center"/>
              <w:rPr>
                <w:rFonts w:ascii="Arial" w:hAnsi="Arial" w:cs="Arial"/>
                <w:b/>
                <w:color w:val="FFFFFF" w:themeColor="background1"/>
                <w:sz w:val="22"/>
              </w:rPr>
            </w:pPr>
            <w:r w:rsidRPr="00AD697E">
              <w:rPr>
                <w:rFonts w:ascii="Arial" w:hAnsi="Arial" w:cs="Arial"/>
                <w:b/>
                <w:color w:val="FFFFFF" w:themeColor="background1"/>
                <w:sz w:val="22"/>
              </w:rPr>
              <w:t>Infectious</w:t>
            </w:r>
          </w:p>
          <w:p w:rsidR="002D226E" w:rsidRPr="00AD697E" w:rsidRDefault="002D226E" w:rsidP="002D226E">
            <w:pPr>
              <w:suppressAutoHyphens/>
              <w:jc w:val="center"/>
              <w:rPr>
                <w:rFonts w:ascii="Arial" w:hAnsi="Arial" w:cs="Arial"/>
                <w:b/>
                <w:color w:val="FFFFFF" w:themeColor="background1"/>
                <w:sz w:val="22"/>
              </w:rPr>
            </w:pPr>
            <w:r>
              <w:rPr>
                <w:rFonts w:ascii="Arial" w:hAnsi="Arial" w:cs="Arial"/>
                <w:b/>
                <w:color w:val="FFFFFF" w:themeColor="background1"/>
                <w:sz w:val="22"/>
              </w:rPr>
              <w:t>Cat B</w:t>
            </w:r>
            <w:r w:rsidR="008E266B">
              <w:rPr>
                <w:rFonts w:ascii="Arial" w:hAnsi="Arial" w:cs="Arial"/>
                <w:b/>
                <w:color w:val="FFFFFF" w:themeColor="background1"/>
                <w:sz w:val="22"/>
              </w:rPr>
              <w:t xml:space="preserve"> ^</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9AA6"/>
            <w:vAlign w:val="center"/>
          </w:tcPr>
          <w:p w:rsidR="002D226E" w:rsidRDefault="002D226E" w:rsidP="002D226E">
            <w:pPr>
              <w:suppressAutoHyphens/>
              <w:jc w:val="center"/>
              <w:rPr>
                <w:rFonts w:ascii="Arial" w:hAnsi="Arial" w:cs="Arial"/>
                <w:b/>
                <w:color w:val="FFFFFF" w:themeColor="background1"/>
                <w:sz w:val="22"/>
              </w:rPr>
            </w:pPr>
            <w:r>
              <w:rPr>
                <w:rFonts w:ascii="Arial" w:hAnsi="Arial" w:cs="Arial"/>
                <w:b/>
                <w:color w:val="FFFFFF" w:themeColor="background1"/>
                <w:sz w:val="22"/>
              </w:rPr>
              <w:t>Infectious</w:t>
            </w:r>
          </w:p>
          <w:p w:rsidR="002D226E" w:rsidRPr="00AD697E" w:rsidRDefault="002D226E" w:rsidP="008E266B">
            <w:pPr>
              <w:suppressAutoHyphens/>
              <w:jc w:val="center"/>
              <w:rPr>
                <w:rFonts w:ascii="Arial" w:hAnsi="Arial" w:cs="Arial"/>
                <w:b/>
                <w:color w:val="FFFFFF" w:themeColor="background1"/>
                <w:sz w:val="22"/>
              </w:rPr>
            </w:pPr>
            <w:r>
              <w:rPr>
                <w:rFonts w:ascii="Arial" w:hAnsi="Arial" w:cs="Arial"/>
                <w:b/>
                <w:color w:val="FFFFFF" w:themeColor="background1"/>
                <w:sz w:val="22"/>
              </w:rPr>
              <w:t>Cat A</w:t>
            </w:r>
            <w:r w:rsidR="008E266B">
              <w:rPr>
                <w:rFonts w:ascii="Arial" w:hAnsi="Arial" w:cs="Arial"/>
                <w:b/>
                <w:color w:val="FFFFFF" w:themeColor="background1"/>
                <w:sz w:val="22"/>
                <w:vertAlign w:val="superscript"/>
              </w:rPr>
              <w:t xml:space="preserve"> </w:t>
            </w:r>
            <w:r w:rsidR="008E266B">
              <w:rPr>
                <w:rFonts w:ascii="Arial" w:hAnsi="Arial" w:cs="Arial"/>
                <w:b/>
                <w:color w:val="FFFFFF" w:themeColor="background1"/>
                <w:sz w:val="22"/>
              </w:rPr>
              <w:t>^</w:t>
            </w:r>
          </w:p>
        </w:tc>
      </w:tr>
      <w:tr w:rsidR="000501EE" w:rsidTr="001067EA">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UK</w:t>
            </w:r>
          </w:p>
        </w:tc>
        <w:tc>
          <w:tcPr>
            <w:tcW w:w="1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£18</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£18</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w:t>
            </w:r>
            <w:r w:rsidR="00742FE9" w:rsidRPr="000501EE">
              <w:rPr>
                <w:rFonts w:ascii="Arial" w:hAnsi="Arial" w:cs="Arial"/>
              </w:rPr>
              <w:t>30</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w:t>
            </w:r>
            <w:r w:rsidR="00742FE9" w:rsidRPr="000501EE">
              <w:rPr>
                <w:rFonts w:ascii="Arial" w:hAnsi="Arial" w:cs="Arial"/>
              </w:rPr>
              <w:t>56</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rsidR="002D226E" w:rsidRPr="000501EE" w:rsidRDefault="002D226E" w:rsidP="000501EE">
            <w:pPr>
              <w:ind w:left="34" w:right="-1090"/>
              <w:rPr>
                <w:rFonts w:ascii="Arial" w:hAnsi="Arial" w:cs="Arial"/>
              </w:rPr>
            </w:pPr>
            <w:r w:rsidRPr="000501EE">
              <w:rPr>
                <w:rFonts w:ascii="Arial" w:hAnsi="Arial" w:cs="Arial"/>
              </w:rPr>
              <w:t>£412</w:t>
            </w:r>
          </w:p>
        </w:tc>
      </w:tr>
      <w:tr w:rsidR="000501EE" w:rsidTr="001067EA">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EU</w:t>
            </w:r>
          </w:p>
        </w:tc>
        <w:tc>
          <w:tcPr>
            <w:tcW w:w="1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£48</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£48</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£68</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£94</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rsidR="002D226E" w:rsidRPr="000501EE" w:rsidRDefault="002D226E" w:rsidP="000501EE">
            <w:pPr>
              <w:ind w:left="34" w:right="-1090"/>
              <w:rPr>
                <w:rFonts w:ascii="Arial" w:hAnsi="Arial" w:cs="Arial"/>
              </w:rPr>
            </w:pPr>
            <w:r w:rsidRPr="000501EE">
              <w:rPr>
                <w:rFonts w:ascii="Arial" w:hAnsi="Arial" w:cs="Arial"/>
              </w:rPr>
              <w:t>£412</w:t>
            </w:r>
          </w:p>
        </w:tc>
      </w:tr>
      <w:tr w:rsidR="000501EE" w:rsidTr="001067EA">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International</w:t>
            </w:r>
          </w:p>
        </w:tc>
        <w:tc>
          <w:tcPr>
            <w:tcW w:w="1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£48</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£48</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£68</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£94</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rsidR="002D226E" w:rsidRPr="000501EE" w:rsidRDefault="002D226E" w:rsidP="000501EE">
            <w:pPr>
              <w:ind w:left="34" w:right="-1090"/>
              <w:rPr>
                <w:rFonts w:ascii="Arial" w:hAnsi="Arial" w:cs="Arial"/>
              </w:rPr>
            </w:pPr>
            <w:r w:rsidRPr="000501EE">
              <w:rPr>
                <w:rFonts w:ascii="Arial" w:hAnsi="Arial" w:cs="Arial"/>
              </w:rPr>
              <w:t>£412</w:t>
            </w:r>
          </w:p>
        </w:tc>
      </w:tr>
      <w:tr w:rsidR="002D226E" w:rsidTr="001067EA">
        <w:tc>
          <w:tcPr>
            <w:tcW w:w="16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8E266B" w:rsidP="000501EE">
            <w:pPr>
              <w:ind w:left="34" w:right="-1090"/>
              <w:rPr>
                <w:rFonts w:ascii="Arial" w:hAnsi="Arial" w:cs="Arial"/>
              </w:rPr>
            </w:pPr>
            <w:r w:rsidRPr="000501EE">
              <w:rPr>
                <w:rFonts w:ascii="Arial" w:hAnsi="Arial" w:cs="Arial"/>
              </w:rPr>
              <w:t>*DHL Global</w:t>
            </w:r>
          </w:p>
        </w:tc>
        <w:tc>
          <w:tcPr>
            <w:tcW w:w="1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£346</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£346</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£3</w:t>
            </w:r>
            <w:r w:rsidRPr="000501EE">
              <w:rPr>
                <w:rFonts w:ascii="Arial" w:hAnsi="Arial" w:cs="Arial"/>
              </w:rPr>
              <w:t>86</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Mar>
              <w:top w:w="57" w:type="dxa"/>
              <w:bottom w:w="57" w:type="dxa"/>
            </w:tcMar>
          </w:tcPr>
          <w:p w:rsidR="002D226E" w:rsidRPr="000501EE" w:rsidRDefault="002D226E" w:rsidP="000501EE">
            <w:pPr>
              <w:ind w:left="34" w:right="-1090"/>
              <w:rPr>
                <w:rFonts w:ascii="Arial" w:hAnsi="Arial" w:cs="Arial"/>
              </w:rPr>
            </w:pPr>
            <w:r w:rsidRPr="000501EE">
              <w:rPr>
                <w:rFonts w:ascii="Arial" w:hAnsi="Arial" w:cs="Arial"/>
              </w:rPr>
              <w:t>£412</w:t>
            </w:r>
          </w:p>
        </w:tc>
        <w:tc>
          <w:tcPr>
            <w:tcW w:w="1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rsidR="002D226E" w:rsidRPr="000501EE" w:rsidRDefault="002D226E" w:rsidP="000501EE">
            <w:pPr>
              <w:ind w:left="34" w:right="-1090"/>
              <w:rPr>
                <w:rFonts w:ascii="Arial" w:hAnsi="Arial" w:cs="Arial"/>
              </w:rPr>
            </w:pPr>
            <w:r w:rsidRPr="000501EE">
              <w:rPr>
                <w:rFonts w:ascii="Arial" w:hAnsi="Arial" w:cs="Arial"/>
              </w:rPr>
              <w:t>£412</w:t>
            </w:r>
          </w:p>
        </w:tc>
      </w:tr>
    </w:tbl>
    <w:p w:rsidR="008E266B" w:rsidRDefault="008E266B" w:rsidP="00E432D7">
      <w:pPr>
        <w:suppressAutoHyphens/>
        <w:jc w:val="both"/>
        <w:rPr>
          <w:rFonts w:ascii="Arial" w:hAnsi="Arial" w:cs="Arial"/>
          <w:sz w:val="22"/>
        </w:rPr>
      </w:pPr>
    </w:p>
    <w:p w:rsidR="00BA0F9A" w:rsidRPr="008E266B" w:rsidRDefault="008E266B" w:rsidP="00E432D7">
      <w:pPr>
        <w:suppressAutoHyphens/>
        <w:jc w:val="both"/>
        <w:rPr>
          <w:rFonts w:ascii="Arial" w:hAnsi="Arial" w:cs="Arial"/>
          <w:sz w:val="22"/>
        </w:rPr>
      </w:pPr>
      <w:r w:rsidRPr="008E266B">
        <w:rPr>
          <w:rFonts w:ascii="Arial" w:hAnsi="Arial" w:cs="Arial"/>
          <w:b/>
          <w:sz w:val="22"/>
        </w:rPr>
        <w:t>^</w:t>
      </w:r>
      <w:r>
        <w:rPr>
          <w:rFonts w:ascii="Arial" w:hAnsi="Arial" w:cs="Arial"/>
          <w:sz w:val="22"/>
        </w:rPr>
        <w:t xml:space="preserve"> </w:t>
      </w:r>
      <w:r w:rsidRPr="008E266B">
        <w:rPr>
          <w:rFonts w:ascii="Arial" w:hAnsi="Arial" w:cs="Arial"/>
          <w:sz w:val="22"/>
        </w:rPr>
        <w:t xml:space="preserve">Cat B </w:t>
      </w:r>
      <w:r>
        <w:rPr>
          <w:rFonts w:ascii="Arial" w:hAnsi="Arial" w:cs="Arial"/>
          <w:sz w:val="22"/>
        </w:rPr>
        <w:t>m</w:t>
      </w:r>
      <w:r w:rsidRPr="008E266B">
        <w:rPr>
          <w:rFonts w:ascii="Arial" w:hAnsi="Arial" w:cs="Arial"/>
          <w:sz w:val="22"/>
        </w:rPr>
        <w:t>aterial is Sera/</w:t>
      </w:r>
      <w:r>
        <w:rPr>
          <w:rFonts w:ascii="Arial" w:hAnsi="Arial" w:cs="Arial"/>
          <w:sz w:val="22"/>
        </w:rPr>
        <w:t>P</w:t>
      </w:r>
      <w:r w:rsidRPr="008E266B">
        <w:rPr>
          <w:rFonts w:ascii="Arial" w:hAnsi="Arial" w:cs="Arial"/>
          <w:sz w:val="22"/>
        </w:rPr>
        <w:t>lasma and Cat A material</w:t>
      </w:r>
      <w:r>
        <w:rPr>
          <w:rFonts w:ascii="Arial" w:hAnsi="Arial" w:cs="Arial"/>
          <w:sz w:val="22"/>
        </w:rPr>
        <w:t>s</w:t>
      </w:r>
      <w:r w:rsidRPr="008E266B">
        <w:rPr>
          <w:rFonts w:ascii="Arial" w:hAnsi="Arial" w:cs="Arial"/>
          <w:sz w:val="22"/>
        </w:rPr>
        <w:t xml:space="preserve"> </w:t>
      </w:r>
      <w:r>
        <w:rPr>
          <w:rFonts w:ascii="Arial" w:hAnsi="Arial" w:cs="Arial"/>
          <w:sz w:val="22"/>
        </w:rPr>
        <w:t>are</w:t>
      </w:r>
      <w:r w:rsidRPr="008E266B">
        <w:rPr>
          <w:rFonts w:ascii="Arial" w:hAnsi="Arial" w:cs="Arial"/>
          <w:sz w:val="22"/>
        </w:rPr>
        <w:t xml:space="preserve"> </w:t>
      </w:r>
      <w:r>
        <w:rPr>
          <w:rFonts w:ascii="Arial" w:hAnsi="Arial" w:cs="Arial"/>
          <w:sz w:val="22"/>
        </w:rPr>
        <w:t>c</w:t>
      </w:r>
      <w:r w:rsidRPr="008E266B">
        <w:rPr>
          <w:rFonts w:ascii="Arial" w:hAnsi="Arial" w:cs="Arial"/>
          <w:sz w:val="22"/>
        </w:rPr>
        <w:t>ultured vir</w:t>
      </w:r>
      <w:r>
        <w:rPr>
          <w:rFonts w:ascii="Arial" w:hAnsi="Arial" w:cs="Arial"/>
          <w:sz w:val="22"/>
        </w:rPr>
        <w:t xml:space="preserve">al SNF or </w:t>
      </w:r>
      <w:r w:rsidR="000501EE">
        <w:rPr>
          <w:rFonts w:ascii="Arial" w:hAnsi="Arial" w:cs="Arial"/>
          <w:sz w:val="22"/>
        </w:rPr>
        <w:t xml:space="preserve">infected </w:t>
      </w:r>
      <w:r>
        <w:rPr>
          <w:rFonts w:ascii="Arial" w:hAnsi="Arial" w:cs="Arial"/>
          <w:sz w:val="22"/>
        </w:rPr>
        <w:t>cells</w:t>
      </w:r>
      <w:r w:rsidRPr="008E266B">
        <w:rPr>
          <w:rFonts w:ascii="Arial" w:hAnsi="Arial" w:cs="Arial"/>
          <w:sz w:val="22"/>
        </w:rPr>
        <w:t xml:space="preserve"> </w:t>
      </w:r>
    </w:p>
    <w:p w:rsidR="00E432D7" w:rsidRPr="00AD697E" w:rsidRDefault="00E432D7" w:rsidP="00E432D7">
      <w:pPr>
        <w:suppressAutoHyphens/>
        <w:jc w:val="both"/>
        <w:rPr>
          <w:rFonts w:ascii="Arial" w:hAnsi="Arial" w:cs="Arial"/>
          <w:sz w:val="22"/>
        </w:rPr>
      </w:pPr>
    </w:p>
    <w:p w:rsidR="00E432D7" w:rsidRPr="00AD697E" w:rsidRDefault="00E432D7" w:rsidP="00E432D7">
      <w:pPr>
        <w:suppressAutoHyphens/>
        <w:jc w:val="both"/>
        <w:rPr>
          <w:rFonts w:ascii="Arial" w:hAnsi="Arial" w:cs="Arial"/>
          <w:sz w:val="22"/>
        </w:rPr>
      </w:pPr>
      <w:r w:rsidRPr="00AD697E">
        <w:rPr>
          <w:rFonts w:ascii="Arial" w:hAnsi="Arial" w:cs="Arial"/>
          <w:sz w:val="22"/>
        </w:rPr>
        <w:t>Please contact us if you require further details or clarification.</w:t>
      </w:r>
    </w:p>
    <w:p w:rsidR="00E432D7" w:rsidRPr="00AD697E" w:rsidRDefault="00E432D7" w:rsidP="00E432D7">
      <w:pPr>
        <w:suppressAutoHyphens/>
        <w:jc w:val="both"/>
        <w:rPr>
          <w:rFonts w:ascii="Arial" w:hAnsi="Arial" w:cs="Arial"/>
          <w:sz w:val="22"/>
        </w:rPr>
      </w:pPr>
    </w:p>
    <w:p w:rsidR="001067EA" w:rsidRDefault="001067EA" w:rsidP="001067EA">
      <w:pPr>
        <w:widowControl/>
        <w:shd w:val="clear" w:color="auto" w:fill="FFFFFF"/>
        <w:snapToGrid/>
        <w:spacing w:line="330" w:lineRule="atLeast"/>
        <w:textAlignment w:val="baseline"/>
        <w:rPr>
          <w:rFonts w:ascii="Helvetica" w:hAnsi="Helvetica" w:cs="Helvetica"/>
          <w:b/>
          <w:bCs/>
          <w:color w:val="000000"/>
          <w:sz w:val="21"/>
          <w:szCs w:val="21"/>
          <w:bdr w:val="none" w:sz="0" w:space="0" w:color="auto" w:frame="1"/>
          <w:lang w:eastAsia="en-GB"/>
        </w:rPr>
      </w:pPr>
      <w:r w:rsidRPr="001067EA">
        <w:rPr>
          <w:rFonts w:ascii="Helvetica" w:hAnsi="Helvetica" w:cs="Helvetica"/>
          <w:b/>
          <w:bCs/>
          <w:color w:val="000000"/>
          <w:sz w:val="21"/>
          <w:szCs w:val="21"/>
          <w:bdr w:val="none" w:sz="0" w:space="0" w:color="auto" w:frame="1"/>
          <w:lang w:eastAsia="en-GB"/>
        </w:rPr>
        <w:t>For UK customers. VAT is charged on the total charge unless you have a certificate of exemption from the VAT authority.</w:t>
      </w:r>
    </w:p>
    <w:p w:rsidR="001067EA" w:rsidRPr="001067EA" w:rsidRDefault="001067EA" w:rsidP="001067EA">
      <w:pPr>
        <w:widowControl/>
        <w:shd w:val="clear" w:color="auto" w:fill="FFFFFF"/>
        <w:snapToGrid/>
        <w:spacing w:line="330" w:lineRule="atLeast"/>
        <w:textAlignment w:val="baseline"/>
        <w:rPr>
          <w:rFonts w:ascii="Helvetica" w:hAnsi="Helvetica" w:cs="Helvetica"/>
          <w:color w:val="000000"/>
          <w:sz w:val="21"/>
          <w:szCs w:val="21"/>
          <w:lang w:eastAsia="en-GB"/>
        </w:rPr>
      </w:pPr>
    </w:p>
    <w:p w:rsidR="001067EA" w:rsidRPr="001067EA" w:rsidRDefault="001067EA" w:rsidP="001067EA">
      <w:pPr>
        <w:widowControl/>
        <w:shd w:val="clear" w:color="auto" w:fill="FFFFFF"/>
        <w:snapToGrid/>
        <w:spacing w:line="330" w:lineRule="atLeast"/>
        <w:textAlignment w:val="baseline"/>
        <w:rPr>
          <w:rFonts w:ascii="Helvetica" w:hAnsi="Helvetica" w:cs="Helvetica"/>
          <w:color w:val="000000"/>
          <w:sz w:val="21"/>
          <w:szCs w:val="21"/>
          <w:lang w:eastAsia="en-GB"/>
        </w:rPr>
      </w:pPr>
      <w:r w:rsidRPr="001067EA">
        <w:rPr>
          <w:rFonts w:ascii="Helvetica" w:hAnsi="Helvetica" w:cs="Helvetica"/>
          <w:b/>
          <w:bCs/>
          <w:color w:val="000000"/>
          <w:sz w:val="21"/>
          <w:szCs w:val="21"/>
          <w:bdr w:val="none" w:sz="0" w:space="0" w:color="auto" w:frame="1"/>
          <w:lang w:eastAsia="en-GB"/>
        </w:rPr>
        <w:t xml:space="preserve">For non-UK EU customers. Please supply your VAT number. Otherwise NIBSC </w:t>
      </w:r>
      <w:proofErr w:type="gramStart"/>
      <w:r w:rsidRPr="001067EA">
        <w:rPr>
          <w:rFonts w:ascii="Helvetica" w:hAnsi="Helvetica" w:cs="Helvetica"/>
          <w:b/>
          <w:bCs/>
          <w:color w:val="000000"/>
          <w:sz w:val="21"/>
          <w:szCs w:val="21"/>
          <w:bdr w:val="none" w:sz="0" w:space="0" w:color="auto" w:frame="1"/>
          <w:lang w:eastAsia="en-GB"/>
        </w:rPr>
        <w:t>has to</w:t>
      </w:r>
      <w:proofErr w:type="gramEnd"/>
      <w:r w:rsidRPr="001067EA">
        <w:rPr>
          <w:rFonts w:ascii="Helvetica" w:hAnsi="Helvetica" w:cs="Helvetica"/>
          <w:b/>
          <w:bCs/>
          <w:color w:val="000000"/>
          <w:sz w:val="21"/>
          <w:szCs w:val="21"/>
          <w:bdr w:val="none" w:sz="0" w:space="0" w:color="auto" w:frame="1"/>
          <w:lang w:eastAsia="en-GB"/>
        </w:rPr>
        <w:t xml:space="preserve"> charge UK VAT on the total charge unless you have a certificate of exemption from your VAT authority. You can reclaim UK VAT from your VAT authority.</w:t>
      </w:r>
    </w:p>
    <w:p w:rsidR="003E1E2E" w:rsidRDefault="003E1E2E" w:rsidP="00376CA2">
      <w:pPr>
        <w:pStyle w:val="Heading2"/>
        <w:spacing w:before="0" w:after="120"/>
      </w:pPr>
    </w:p>
    <w:p w:rsidR="007E3997" w:rsidRPr="00742FE9" w:rsidRDefault="007E3997" w:rsidP="00376CA2">
      <w:pPr>
        <w:pStyle w:val="Heading2"/>
        <w:spacing w:before="0" w:after="120"/>
        <w:rPr>
          <w:sz w:val="24"/>
          <w:szCs w:val="24"/>
        </w:rPr>
      </w:pPr>
      <w:r w:rsidRPr="00742FE9">
        <w:rPr>
          <w:sz w:val="24"/>
          <w:szCs w:val="24"/>
        </w:rPr>
        <w:t>Can I use my own courier and courier account number?</w:t>
      </w:r>
    </w:p>
    <w:p w:rsidR="007E3997" w:rsidRPr="00AD697E" w:rsidRDefault="007E3997" w:rsidP="00376CA2">
      <w:pPr>
        <w:spacing w:after="120"/>
        <w:rPr>
          <w:rFonts w:ascii="Arial" w:hAnsi="Arial" w:cs="Arial"/>
          <w:sz w:val="22"/>
          <w:szCs w:val="22"/>
        </w:rPr>
      </w:pPr>
      <w:r w:rsidRPr="00AD697E">
        <w:rPr>
          <w:rFonts w:ascii="Arial" w:hAnsi="Arial" w:cs="Arial"/>
          <w:sz w:val="22"/>
          <w:szCs w:val="22"/>
        </w:rPr>
        <w:t xml:space="preserve">Because of difficulties we have experienced in using </w:t>
      </w:r>
      <w:proofErr w:type="gramStart"/>
      <w:r w:rsidRPr="00AD697E">
        <w:rPr>
          <w:rFonts w:ascii="Arial" w:hAnsi="Arial" w:cs="Arial"/>
          <w:sz w:val="22"/>
          <w:szCs w:val="22"/>
        </w:rPr>
        <w:t>a number of</w:t>
      </w:r>
      <w:proofErr w:type="gramEnd"/>
      <w:r w:rsidRPr="00AD697E">
        <w:rPr>
          <w:rFonts w:ascii="Arial" w:hAnsi="Arial" w:cs="Arial"/>
          <w:sz w:val="22"/>
          <w:szCs w:val="22"/>
        </w:rPr>
        <w:t xml:space="preserve"> Couriers, it is NIBSC policy not to book couriers using customers’ own account numbers. If you wish to use your own courier account, you need to arrange for the collection of your order from NIBSC by your courier. We will provide you or your courier with a date for collection. </w:t>
      </w:r>
    </w:p>
    <w:p w:rsidR="00E432D7" w:rsidRPr="00376CA2" w:rsidRDefault="007E3997" w:rsidP="00376CA2">
      <w:pPr>
        <w:pStyle w:val="NormalWeb"/>
        <w:spacing w:after="120"/>
        <w:rPr>
          <w:rFonts w:ascii="Arial" w:hAnsi="Arial" w:cs="Arial"/>
          <w:sz w:val="22"/>
          <w:szCs w:val="22"/>
        </w:rPr>
      </w:pPr>
      <w:r w:rsidRPr="00AD697E">
        <w:rPr>
          <w:rFonts w:ascii="Arial" w:hAnsi="Arial" w:cs="Arial"/>
          <w:b/>
          <w:bCs/>
          <w:sz w:val="22"/>
          <w:szCs w:val="22"/>
        </w:rPr>
        <w:t>Please Note</w:t>
      </w:r>
      <w:r w:rsidRPr="00AD697E">
        <w:rPr>
          <w:rFonts w:ascii="Arial" w:hAnsi="Arial" w:cs="Arial"/>
          <w:sz w:val="22"/>
          <w:szCs w:val="22"/>
        </w:rPr>
        <w:t xml:space="preserve">: In view of heightened air security, some carriers will not collect packages from NIBSC if the collection has not been arranged by NIBSC staff.  </w:t>
      </w:r>
    </w:p>
    <w:p w:rsidR="00742FE9" w:rsidRDefault="00742FE9" w:rsidP="00376CA2">
      <w:pPr>
        <w:pStyle w:val="Heading2"/>
        <w:spacing w:before="0" w:after="120"/>
        <w:rPr>
          <w:sz w:val="24"/>
          <w:szCs w:val="24"/>
        </w:rPr>
      </w:pPr>
      <w:bookmarkStart w:id="2" w:name="courier"/>
      <w:bookmarkEnd w:id="2"/>
    </w:p>
    <w:p w:rsidR="00E432D7" w:rsidRPr="00742FE9" w:rsidRDefault="008E266B" w:rsidP="00376CA2">
      <w:pPr>
        <w:pStyle w:val="Heading2"/>
        <w:spacing w:before="0" w:after="120"/>
        <w:rPr>
          <w:sz w:val="24"/>
          <w:szCs w:val="24"/>
        </w:rPr>
      </w:pPr>
      <w:r w:rsidRPr="00742FE9">
        <w:rPr>
          <w:sz w:val="24"/>
          <w:szCs w:val="24"/>
        </w:rPr>
        <w:t>Methods of payment</w:t>
      </w:r>
    </w:p>
    <w:p w:rsidR="00E432D7" w:rsidRPr="00AD697E" w:rsidRDefault="00E432D7" w:rsidP="00E432D7">
      <w:pPr>
        <w:suppressAutoHyphens/>
        <w:jc w:val="both"/>
        <w:rPr>
          <w:rFonts w:ascii="Arial" w:hAnsi="Arial" w:cs="Arial"/>
          <w:sz w:val="22"/>
        </w:rPr>
      </w:pPr>
      <w:r w:rsidRPr="00AD697E">
        <w:rPr>
          <w:rFonts w:ascii="Arial" w:hAnsi="Arial" w:cs="Arial"/>
          <w:sz w:val="22"/>
        </w:rPr>
        <w:t>Invoices for reagents will be raised and sent 2-4 weeks after the dispatch of materials.</w:t>
      </w:r>
    </w:p>
    <w:p w:rsidR="00E432D7" w:rsidRPr="00AD697E" w:rsidRDefault="00E432D7" w:rsidP="00E432D7">
      <w:pPr>
        <w:suppressAutoHyphens/>
        <w:jc w:val="both"/>
        <w:rPr>
          <w:rFonts w:ascii="Arial" w:hAnsi="Arial" w:cs="Arial"/>
          <w:sz w:val="22"/>
        </w:rPr>
      </w:pPr>
      <w:r w:rsidRPr="00AD697E">
        <w:rPr>
          <w:rFonts w:ascii="Arial" w:hAnsi="Arial" w:cs="Arial"/>
          <w:sz w:val="22"/>
        </w:rPr>
        <w:t>Payment should be made within 30 working days from receipt of the invoice. Methods of payment are given on the invoice. When making payment, all bank charges are payable by the originator.</w:t>
      </w:r>
    </w:p>
    <w:p w:rsidR="00E432D7" w:rsidRPr="00AD697E" w:rsidRDefault="00E432D7" w:rsidP="00E432D7">
      <w:pPr>
        <w:suppressAutoHyphens/>
        <w:jc w:val="both"/>
        <w:rPr>
          <w:rFonts w:ascii="Arial" w:hAnsi="Arial" w:cs="Arial"/>
          <w:sz w:val="22"/>
        </w:rPr>
      </w:pPr>
    </w:p>
    <w:p w:rsidR="00497DA5" w:rsidRPr="00AD697E" w:rsidRDefault="00497DA5" w:rsidP="00E432D7">
      <w:pPr>
        <w:suppressAutoHyphens/>
        <w:jc w:val="both"/>
        <w:rPr>
          <w:rFonts w:ascii="Arial" w:hAnsi="Arial" w:cs="Arial"/>
          <w:sz w:val="22"/>
        </w:rPr>
      </w:pPr>
    </w:p>
    <w:sectPr w:rsidR="00497DA5" w:rsidRPr="00AD697E" w:rsidSect="000501EE">
      <w:footerReference w:type="even" r:id="rId8"/>
      <w:headerReference w:type="first" r:id="rId9"/>
      <w:pgSz w:w="11906" w:h="16838" w:code="9"/>
      <w:pgMar w:top="851" w:right="1134" w:bottom="1701" w:left="851" w:header="851"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3B" w:rsidRDefault="0039153B">
      <w:r>
        <w:separator/>
      </w:r>
    </w:p>
  </w:endnote>
  <w:endnote w:type="continuationSeparator" w:id="0">
    <w:p w:rsidR="0039153B" w:rsidRDefault="0039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DA5" w:rsidRDefault="00497DA5"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2D7">
      <w:rPr>
        <w:rStyle w:val="PageNumber"/>
        <w:noProof/>
      </w:rPr>
      <w:t>2</w:t>
    </w:r>
    <w:r>
      <w:rPr>
        <w:rStyle w:val="PageNumber"/>
      </w:rPr>
      <w:fldChar w:fldCharType="end"/>
    </w:r>
  </w:p>
  <w:p w:rsidR="00497DA5" w:rsidRDefault="00497DA5" w:rsidP="00497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3B" w:rsidRDefault="0039153B">
      <w:r>
        <w:separator/>
      </w:r>
    </w:p>
  </w:footnote>
  <w:footnote w:type="continuationSeparator" w:id="0">
    <w:p w:rsidR="0039153B" w:rsidRDefault="0039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D5A" w:rsidRPr="005758AD" w:rsidRDefault="00593EFF" w:rsidP="005758AD">
    <w:pPr>
      <w:pStyle w:val="Header"/>
      <w:spacing w:after="480"/>
      <w:rPr>
        <w:sz w:val="22"/>
        <w:szCs w:val="22"/>
      </w:rPr>
    </w:pPr>
    <w:r>
      <w:rPr>
        <w:noProof/>
      </w:rPr>
      <w:drawing>
        <wp:anchor distT="0" distB="0" distL="114300" distR="114300" simplePos="0" relativeHeight="251658240" behindDoc="1" locked="0" layoutInCell="1" allowOverlap="0" wp14:anchorId="65BBE719" wp14:editId="749D9C0C">
          <wp:simplePos x="0" y="0"/>
          <wp:positionH relativeFrom="column">
            <wp:posOffset>4212590</wp:posOffset>
          </wp:positionH>
          <wp:positionV relativeFrom="paragraph">
            <wp:posOffset>-17780</wp:posOffset>
          </wp:positionV>
          <wp:extent cx="2019300" cy="676275"/>
          <wp:effectExtent l="0" t="0" r="0" b="9525"/>
          <wp:wrapTight wrapText="bothSides">
            <wp:wrapPolygon edited="0">
              <wp:start x="0" y="0"/>
              <wp:lineTo x="0" y="21296"/>
              <wp:lineTo x="21396" y="21296"/>
              <wp:lineTo x="213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76275"/>
                  </a:xfrm>
                  <a:prstGeom prst="rect">
                    <a:avLst/>
                  </a:prstGeom>
                  <a:noFill/>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785CC3" wp14:editId="6D8B8DF6">
          <wp:extent cx="2790825" cy="714375"/>
          <wp:effectExtent l="0" t="0" r="9525" b="9525"/>
          <wp:docPr id="7" name="Picture 7" descr="MHPRA_326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PRA_3268_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1313D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D7"/>
    <w:rsid w:val="000501EE"/>
    <w:rsid w:val="00095648"/>
    <w:rsid w:val="000E3E81"/>
    <w:rsid w:val="001067EA"/>
    <w:rsid w:val="00151A05"/>
    <w:rsid w:val="002D226E"/>
    <w:rsid w:val="002E516F"/>
    <w:rsid w:val="00325D5A"/>
    <w:rsid w:val="003274A4"/>
    <w:rsid w:val="00376CA2"/>
    <w:rsid w:val="0039153B"/>
    <w:rsid w:val="003D1C94"/>
    <w:rsid w:val="003D3D6B"/>
    <w:rsid w:val="003E1E2E"/>
    <w:rsid w:val="00497DA5"/>
    <w:rsid w:val="005403F0"/>
    <w:rsid w:val="00540429"/>
    <w:rsid w:val="00552A8C"/>
    <w:rsid w:val="005758AD"/>
    <w:rsid w:val="00593EFF"/>
    <w:rsid w:val="005A01A7"/>
    <w:rsid w:val="005B21FF"/>
    <w:rsid w:val="005C603B"/>
    <w:rsid w:val="0061796E"/>
    <w:rsid w:val="00645F37"/>
    <w:rsid w:val="00655EE5"/>
    <w:rsid w:val="006A68B0"/>
    <w:rsid w:val="00742FE9"/>
    <w:rsid w:val="00776666"/>
    <w:rsid w:val="0079245C"/>
    <w:rsid w:val="00792F10"/>
    <w:rsid w:val="007A06C4"/>
    <w:rsid w:val="007E3997"/>
    <w:rsid w:val="00813233"/>
    <w:rsid w:val="00821CBE"/>
    <w:rsid w:val="00832308"/>
    <w:rsid w:val="00834F8D"/>
    <w:rsid w:val="008507C1"/>
    <w:rsid w:val="008A6779"/>
    <w:rsid w:val="008B0710"/>
    <w:rsid w:val="008C46EC"/>
    <w:rsid w:val="008E266B"/>
    <w:rsid w:val="008F014A"/>
    <w:rsid w:val="00925396"/>
    <w:rsid w:val="00935C77"/>
    <w:rsid w:val="00980565"/>
    <w:rsid w:val="009B7CCB"/>
    <w:rsid w:val="00A12652"/>
    <w:rsid w:val="00A74FCD"/>
    <w:rsid w:val="00AD631E"/>
    <w:rsid w:val="00AD697E"/>
    <w:rsid w:val="00B12F2D"/>
    <w:rsid w:val="00B450E6"/>
    <w:rsid w:val="00B9108E"/>
    <w:rsid w:val="00BA0F9A"/>
    <w:rsid w:val="00BD0F64"/>
    <w:rsid w:val="00BF7602"/>
    <w:rsid w:val="00C03557"/>
    <w:rsid w:val="00C506D3"/>
    <w:rsid w:val="00C60F8C"/>
    <w:rsid w:val="00C95706"/>
    <w:rsid w:val="00CA13C9"/>
    <w:rsid w:val="00CF0A52"/>
    <w:rsid w:val="00D05375"/>
    <w:rsid w:val="00DB02A6"/>
    <w:rsid w:val="00DF44BF"/>
    <w:rsid w:val="00E432D7"/>
    <w:rsid w:val="00ED1945"/>
    <w:rsid w:val="00F740EB"/>
    <w:rsid w:val="00FA5DA0"/>
    <w:rsid w:val="00FB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6F9D3E"/>
  <w15:docId w15:val="{473DC254-E61A-4152-B6E5-7B583427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32D7"/>
    <w:pPr>
      <w:widowControl w:val="0"/>
      <w:snapToGrid w:val="0"/>
    </w:pPr>
    <w:rPr>
      <w:rFonts w:ascii="Courier New" w:hAnsi="Courier New"/>
      <w:sz w:val="24"/>
      <w:lang w:eastAsia="en-US"/>
    </w:rPr>
  </w:style>
  <w:style w:type="paragraph" w:styleId="Heading1">
    <w:name w:val="heading 1"/>
    <w:next w:val="Normal"/>
    <w:link w:val="Heading1Char"/>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link w:val="Heading2Char"/>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rPr>
  </w:style>
  <w:style w:type="paragraph" w:styleId="Heading8">
    <w:name w:val="heading 8"/>
    <w:basedOn w:val="Normal"/>
    <w:next w:val="Normal"/>
    <w:qFormat/>
    <w:rsid w:val="00497DA5"/>
    <w:pPr>
      <w:spacing w:before="240" w:after="60"/>
      <w:outlineLvl w:val="7"/>
    </w:pPr>
    <w:rPr>
      <w:rFonts w:ascii="Times New Roman" w:hAnsi="Times New Roman"/>
      <w:i/>
      <w:iCs/>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semiHidden/>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uiPriority w:val="20"/>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rPr>
  </w:style>
  <w:style w:type="paragraph" w:styleId="EnvelopeReturn">
    <w:name w:val="envelope return"/>
    <w:basedOn w:val="Normal"/>
    <w:semiHidden/>
    <w:rsid w:val="00497DA5"/>
    <w:rPr>
      <w:rFonts w:cs="Arial"/>
      <w:sz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cs="Courier New"/>
      <w:sz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497DA5"/>
    <w:rPr>
      <w:rFonts w:ascii="Times New Roman" w:hAnsi="Times New Roman"/>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cs="Courier New"/>
      <w:sz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497DA5"/>
    <w:pPr>
      <w:spacing w:after="60"/>
      <w:jc w:val="center"/>
      <w:outlineLvl w:val="1"/>
    </w:pPr>
    <w:rPr>
      <w:rFonts w:cs="Arial"/>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7DA5"/>
    <w:pPr>
      <w:spacing w:before="240" w:after="60"/>
      <w:jc w:val="center"/>
      <w:outlineLvl w:val="0"/>
    </w:pPr>
    <w:rPr>
      <w:rFonts w:cs="Arial"/>
      <w:b/>
      <w:bCs/>
      <w:kern w:val="28"/>
      <w:sz w:val="32"/>
      <w:szCs w:val="32"/>
    </w:rPr>
  </w:style>
  <w:style w:type="character" w:customStyle="1" w:styleId="Heading1Char">
    <w:name w:val="Heading 1 Char"/>
    <w:basedOn w:val="DefaultParagraphFont"/>
    <w:link w:val="Heading1"/>
    <w:rsid w:val="00E432D7"/>
    <w:rPr>
      <w:rFonts w:ascii="Arial" w:hAnsi="Arial" w:cs="Arial"/>
      <w:b/>
      <w:bCs/>
      <w:sz w:val="36"/>
      <w:szCs w:val="32"/>
    </w:rPr>
  </w:style>
  <w:style w:type="character" w:customStyle="1" w:styleId="Heading2Char">
    <w:name w:val="Heading 2 Char"/>
    <w:basedOn w:val="DefaultParagraphFont"/>
    <w:link w:val="Heading2"/>
    <w:rsid w:val="00E432D7"/>
    <w:rPr>
      <w:rFonts w:ascii="Arial" w:hAnsi="Arial" w:cs="Arial"/>
      <w:b/>
      <w:iCs/>
      <w:sz w:val="28"/>
      <w:szCs w:val="28"/>
    </w:rPr>
  </w:style>
  <w:style w:type="paragraph" w:styleId="EndnoteText">
    <w:name w:val="endnote text"/>
    <w:basedOn w:val="Normal"/>
    <w:link w:val="EndnoteTextChar"/>
    <w:unhideWhenUsed/>
    <w:rsid w:val="00E432D7"/>
  </w:style>
  <w:style w:type="character" w:customStyle="1" w:styleId="EndnoteTextChar">
    <w:name w:val="Endnote Text Char"/>
    <w:basedOn w:val="DefaultParagraphFont"/>
    <w:link w:val="EndnoteText"/>
    <w:rsid w:val="00E432D7"/>
    <w:rPr>
      <w:rFonts w:ascii="Courier New" w:hAnsi="Courier New"/>
      <w:sz w:val="24"/>
      <w:lang w:eastAsia="en-US"/>
    </w:rPr>
  </w:style>
  <w:style w:type="character" w:customStyle="1" w:styleId="TitleChar">
    <w:name w:val="Title Char"/>
    <w:basedOn w:val="DefaultParagraphFont"/>
    <w:link w:val="Title"/>
    <w:rsid w:val="00E432D7"/>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89253">
      <w:bodyDiv w:val="1"/>
      <w:marLeft w:val="0"/>
      <w:marRight w:val="0"/>
      <w:marTop w:val="0"/>
      <w:marBottom w:val="0"/>
      <w:divBdr>
        <w:top w:val="none" w:sz="0" w:space="0" w:color="auto"/>
        <w:left w:val="none" w:sz="0" w:space="0" w:color="auto"/>
        <w:bottom w:val="none" w:sz="0" w:space="0" w:color="auto"/>
        <w:right w:val="none" w:sz="0" w:space="0" w:color="auto"/>
      </w:divBdr>
    </w:div>
    <w:div w:id="370305731">
      <w:bodyDiv w:val="1"/>
      <w:marLeft w:val="0"/>
      <w:marRight w:val="0"/>
      <w:marTop w:val="0"/>
      <w:marBottom w:val="0"/>
      <w:divBdr>
        <w:top w:val="none" w:sz="0" w:space="0" w:color="auto"/>
        <w:left w:val="none" w:sz="0" w:space="0" w:color="auto"/>
        <w:bottom w:val="none" w:sz="0" w:space="0" w:color="auto"/>
        <w:right w:val="none" w:sz="0" w:space="0" w:color="auto"/>
      </w:divBdr>
    </w:div>
    <w:div w:id="432021846">
      <w:bodyDiv w:val="1"/>
      <w:marLeft w:val="0"/>
      <w:marRight w:val="0"/>
      <w:marTop w:val="0"/>
      <w:marBottom w:val="0"/>
      <w:divBdr>
        <w:top w:val="none" w:sz="0" w:space="0" w:color="auto"/>
        <w:left w:val="none" w:sz="0" w:space="0" w:color="auto"/>
        <w:bottom w:val="none" w:sz="0" w:space="0" w:color="auto"/>
        <w:right w:val="none" w:sz="0" w:space="0" w:color="auto"/>
      </w:divBdr>
      <w:divsChild>
        <w:div w:id="489104157">
          <w:marLeft w:val="0"/>
          <w:marRight w:val="0"/>
          <w:marTop w:val="0"/>
          <w:marBottom w:val="0"/>
          <w:divBdr>
            <w:top w:val="none" w:sz="0" w:space="0" w:color="auto"/>
            <w:left w:val="none" w:sz="0" w:space="0" w:color="auto"/>
            <w:bottom w:val="none" w:sz="0" w:space="0" w:color="auto"/>
            <w:right w:val="none" w:sz="0" w:space="0" w:color="auto"/>
          </w:divBdr>
        </w:div>
      </w:divsChild>
    </w:div>
    <w:div w:id="438374702">
      <w:bodyDiv w:val="1"/>
      <w:marLeft w:val="0"/>
      <w:marRight w:val="0"/>
      <w:marTop w:val="0"/>
      <w:marBottom w:val="0"/>
      <w:divBdr>
        <w:top w:val="none" w:sz="0" w:space="0" w:color="auto"/>
        <w:left w:val="none" w:sz="0" w:space="0" w:color="auto"/>
        <w:bottom w:val="none" w:sz="0" w:space="0" w:color="auto"/>
        <w:right w:val="none" w:sz="0" w:space="0" w:color="auto"/>
      </w:divBdr>
    </w:div>
    <w:div w:id="912399671">
      <w:bodyDiv w:val="1"/>
      <w:marLeft w:val="0"/>
      <w:marRight w:val="0"/>
      <w:marTop w:val="0"/>
      <w:marBottom w:val="0"/>
      <w:divBdr>
        <w:top w:val="none" w:sz="0" w:space="0" w:color="auto"/>
        <w:left w:val="none" w:sz="0" w:space="0" w:color="auto"/>
        <w:bottom w:val="none" w:sz="0" w:space="0" w:color="auto"/>
        <w:right w:val="none" w:sz="0" w:space="0" w:color="auto"/>
      </w:divBdr>
    </w:div>
    <w:div w:id="954020290">
      <w:bodyDiv w:val="1"/>
      <w:marLeft w:val="0"/>
      <w:marRight w:val="0"/>
      <w:marTop w:val="0"/>
      <w:marBottom w:val="0"/>
      <w:divBdr>
        <w:top w:val="none" w:sz="0" w:space="0" w:color="auto"/>
        <w:left w:val="none" w:sz="0" w:space="0" w:color="auto"/>
        <w:bottom w:val="none" w:sz="0" w:space="0" w:color="auto"/>
        <w:right w:val="none" w:sz="0" w:space="0" w:color="auto"/>
      </w:divBdr>
    </w:div>
    <w:div w:id="1343779308">
      <w:bodyDiv w:val="1"/>
      <w:marLeft w:val="0"/>
      <w:marRight w:val="0"/>
      <w:marTop w:val="0"/>
      <w:marBottom w:val="0"/>
      <w:divBdr>
        <w:top w:val="none" w:sz="0" w:space="0" w:color="auto"/>
        <w:left w:val="none" w:sz="0" w:space="0" w:color="auto"/>
        <w:bottom w:val="none" w:sz="0" w:space="0" w:color="auto"/>
        <w:right w:val="none" w:sz="0" w:space="0" w:color="auto"/>
      </w:divBdr>
    </w:div>
    <w:div w:id="1595480815">
      <w:bodyDiv w:val="1"/>
      <w:marLeft w:val="0"/>
      <w:marRight w:val="0"/>
      <w:marTop w:val="0"/>
      <w:marBottom w:val="0"/>
      <w:divBdr>
        <w:top w:val="none" w:sz="0" w:space="0" w:color="auto"/>
        <w:left w:val="none" w:sz="0" w:space="0" w:color="auto"/>
        <w:bottom w:val="none" w:sz="0" w:space="0" w:color="auto"/>
        <w:right w:val="none" w:sz="0" w:space="0" w:color="auto"/>
      </w:divBdr>
    </w:div>
    <w:div w:id="1934390493">
      <w:bodyDiv w:val="1"/>
      <w:marLeft w:val="0"/>
      <w:marRight w:val="0"/>
      <w:marTop w:val="0"/>
      <w:marBottom w:val="0"/>
      <w:divBdr>
        <w:top w:val="none" w:sz="0" w:space="0" w:color="auto"/>
        <w:left w:val="none" w:sz="0" w:space="0" w:color="auto"/>
        <w:bottom w:val="none" w:sz="0" w:space="0" w:color="auto"/>
        <w:right w:val="none" w:sz="0" w:space="0" w:color="auto"/>
      </w:divBdr>
    </w:div>
    <w:div w:id="2097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ddell\qwb_pro\master\Word%20Templates\WBP_Macr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WBP_Macros</Template>
  <TotalTime>1</TotalTime>
  <Pages>2</Pages>
  <Words>544</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letter</vt:lpstr>
    </vt:vector>
  </TitlesOfParts>
  <Company>MHRA</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itteam</dc:creator>
  <cp:keywords>letter</cp:keywords>
  <cp:lastModifiedBy>Matthew Hurley</cp:lastModifiedBy>
  <cp:revision>2</cp:revision>
  <cp:lastPrinted>2015-05-21T16:32:00Z</cp:lastPrinted>
  <dcterms:created xsi:type="dcterms:W3CDTF">2018-03-23T15:05:00Z</dcterms:created>
  <dcterms:modified xsi:type="dcterms:W3CDTF">2018-03-23T15:05:00Z</dcterms:modified>
  <cp:category>template</cp:category>
</cp:coreProperties>
</file>